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AE29"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6EC94870"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AECDFF5"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51E9EAFD"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2113649A"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p>
    <w:p w14:paraId="2C5889CE"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eastAsia="ar-SA"/>
          <w14:ligatures w14:val="none"/>
        </w:rPr>
      </w:pPr>
    </w:p>
    <w:p w14:paraId="5BAB6878" w14:textId="77777777" w:rsidR="00C90D09" w:rsidRPr="00BB14F5" w:rsidRDefault="00C90D09" w:rsidP="00C90D09">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D09E085" w14:textId="77777777" w:rsidR="00C90D09" w:rsidRDefault="00C90D09" w:rsidP="00C90D09">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59D3AC1E" w14:textId="00072457" w:rsidR="00C90D09" w:rsidRDefault="00C90D09" w:rsidP="00C90D09">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287EE3A6" w14:textId="77777777" w:rsidR="00C90D09"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26F02E99" w14:textId="1ACCEF3C" w:rsidR="00C90D09" w:rsidRPr="00015B0D" w:rsidRDefault="00C90D09" w:rsidP="00C90D09">
      <w:pPr>
        <w:suppressAutoHyphens/>
        <w:spacing w:after="0" w:line="240" w:lineRule="auto"/>
        <w:rPr>
          <w:rFonts w:ascii="Tahoma" w:eastAsia="Times New Roman" w:hAnsi="Tahoma" w:cs="Tahoma"/>
          <w:b/>
          <w:i/>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CELLO</w:t>
      </w:r>
      <w:r w:rsidRPr="00015B0D">
        <w:rPr>
          <w:rFonts w:ascii="Tahoma" w:eastAsia="Times New Roman" w:hAnsi="Tahoma" w:cs="Tahoma"/>
          <w:b/>
          <w:i/>
          <w:kern w:val="0"/>
          <w:sz w:val="22"/>
          <w:szCs w:val="20"/>
          <w:lang w:val="en-GB" w:eastAsia="ar-SA"/>
          <w14:ligatures w14:val="none"/>
        </w:rPr>
        <w:t xml:space="preserve"> TUTTI</w:t>
      </w:r>
    </w:p>
    <w:p w14:paraId="67386E82" w14:textId="77777777" w:rsidR="00C90D09" w:rsidRPr="00015B0D" w:rsidRDefault="00C90D09" w:rsidP="00C90D09">
      <w:pPr>
        <w:suppressAutoHyphens/>
        <w:spacing w:after="0" w:line="240" w:lineRule="auto"/>
        <w:rPr>
          <w:rFonts w:ascii="Tahoma" w:eastAsia="Times New Roman" w:hAnsi="Tahoma" w:cs="Tahoma"/>
          <w:b/>
          <w:i/>
          <w:kern w:val="0"/>
          <w:sz w:val="22"/>
          <w:szCs w:val="20"/>
          <w:lang w:val="en-GB" w:eastAsia="ar-SA"/>
          <w14:ligatures w14:val="none"/>
        </w:rPr>
      </w:pPr>
    </w:p>
    <w:p w14:paraId="7AF463A4" w14:textId="77777777" w:rsidR="00C90D09" w:rsidRPr="00015B0D" w:rsidRDefault="00C90D09" w:rsidP="00C90D09">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0C9F726F" w14:textId="77777777" w:rsidR="00C90D09" w:rsidRPr="00015B0D" w:rsidRDefault="00C90D09" w:rsidP="00C90D09">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w:t>
      </w:r>
      <w:r>
        <w:rPr>
          <w:rFonts w:ascii="Tahoma" w:eastAsia="Times New Roman" w:hAnsi="Tahoma" w:cs="Tahoma"/>
          <w:kern w:val="0"/>
          <w:sz w:val="22"/>
          <w:szCs w:val="20"/>
          <w:lang w:val="en-GB" w:eastAsia="ar-SA"/>
          <w14:ligatures w14:val="none"/>
        </w:rPr>
        <w:t>Cello</w:t>
      </w:r>
      <w:r w:rsidRPr="00015B0D">
        <w:rPr>
          <w:rFonts w:ascii="Tahoma" w:eastAsia="Times New Roman" w:hAnsi="Tahoma" w:cs="Tahoma"/>
          <w:kern w:val="0"/>
          <w:sz w:val="22"/>
          <w:szCs w:val="20"/>
          <w:lang w:val="en-GB" w:eastAsia="ar-SA"/>
          <w14:ligatures w14:val="none"/>
        </w:rPr>
        <w:t>) with a minimum of 300 ECTS credits</w:t>
      </w:r>
    </w:p>
    <w:p w14:paraId="5BF5B682" w14:textId="77777777" w:rsidR="00C90D09" w:rsidRPr="00015B0D" w:rsidRDefault="00C90D09" w:rsidP="00C90D09">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7C677D2D" w14:textId="77777777" w:rsidR="00C90D09" w:rsidRPr="00015B0D" w:rsidRDefault="00C90D09" w:rsidP="00C90D09">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293A3364" w14:textId="77777777" w:rsidR="00C90D09" w:rsidRPr="00015B0D" w:rsidRDefault="00C90D09" w:rsidP="00C90D09">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Pr>
          <w:rFonts w:ascii="Tahoma" w:eastAsia="Times New Roman" w:hAnsi="Tahoma" w:cs="Tahoma"/>
          <w:kern w:val="0"/>
          <w:sz w:val="22"/>
          <w:szCs w:val="20"/>
          <w:lang w:val="en-GB" w:eastAsia="ar-SA"/>
          <w14:ligatures w14:val="none"/>
        </w:rPr>
        <w:t>10</w:t>
      </w:r>
      <w:r w:rsidRPr="00015B0D">
        <w:rPr>
          <w:rFonts w:ascii="Tahoma" w:eastAsia="Times New Roman" w:hAnsi="Tahoma" w:cs="Tahoma"/>
          <w:kern w:val="0"/>
          <w:sz w:val="22"/>
          <w:szCs w:val="20"/>
          <w:lang w:val="en-GB" w:eastAsia="ar-SA"/>
          <w14:ligatures w14:val="none"/>
        </w:rPr>
        <w:t>/1</w:t>
      </w:r>
      <w:r>
        <w:rPr>
          <w:rFonts w:ascii="Tahoma" w:eastAsia="Times New Roman" w:hAnsi="Tahoma" w:cs="Tahoma"/>
          <w:kern w:val="0"/>
          <w:sz w:val="22"/>
          <w:szCs w:val="20"/>
          <w:lang w:val="en-GB" w:eastAsia="ar-SA"/>
          <w14:ligatures w14:val="none"/>
        </w:rPr>
        <w:t>0</w:t>
      </w:r>
      <w:r w:rsidRPr="00015B0D">
        <w:rPr>
          <w:rFonts w:ascii="Tahoma" w:eastAsia="Times New Roman" w:hAnsi="Tahoma" w:cs="Tahoma"/>
          <w:kern w:val="0"/>
          <w:sz w:val="22"/>
          <w:szCs w:val="20"/>
          <w:lang w:val="en-GB" w:eastAsia="ar-SA"/>
          <w14:ligatures w14:val="none"/>
        </w:rPr>
        <w:t>/202</w:t>
      </w:r>
      <w:r>
        <w:rPr>
          <w:rFonts w:ascii="Tahoma" w:eastAsia="Times New Roman" w:hAnsi="Tahoma" w:cs="Tahoma"/>
          <w:kern w:val="0"/>
          <w:sz w:val="22"/>
          <w:szCs w:val="20"/>
          <w:lang w:val="en-GB" w:eastAsia="ar-SA"/>
          <w14:ligatures w14:val="none"/>
        </w:rPr>
        <w:t>6</w:t>
      </w:r>
      <w:r w:rsidRPr="00015B0D">
        <w:rPr>
          <w:rFonts w:ascii="Tahoma" w:eastAsia="Times New Roman" w:hAnsi="Tahoma" w:cs="Tahoma"/>
          <w:kern w:val="0"/>
          <w:sz w:val="22"/>
          <w:szCs w:val="20"/>
          <w:lang w:val="en-GB" w:eastAsia="ar-SA"/>
          <w14:ligatures w14:val="none"/>
        </w:rPr>
        <w:t xml:space="preserve">. </w:t>
      </w:r>
    </w:p>
    <w:p w14:paraId="38D24989" w14:textId="77777777" w:rsidR="00C90D09" w:rsidRPr="00A9651D" w:rsidRDefault="00C90D09" w:rsidP="00C90D09">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Job description:</w:t>
      </w:r>
      <w:r w:rsidRPr="00015B0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according</w:t>
      </w:r>
      <w:proofErr w:type="spellEnd"/>
      <w:r w:rsidRPr="00A9651D">
        <w:rPr>
          <w:rFonts w:ascii="Tahoma" w:eastAsia="Times New Roman" w:hAnsi="Tahoma" w:cs="Tahoma"/>
          <w:kern w:val="0"/>
          <w:sz w:val="22"/>
          <w:szCs w:val="20"/>
          <w:lang w:eastAsia="ar-SA"/>
          <w14:ligatures w14:val="none"/>
        </w:rPr>
        <w:t xml:space="preserve"> to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instructions</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Assistant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at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desk </w:t>
      </w:r>
      <w:proofErr w:type="spellStart"/>
      <w:r w:rsidRPr="00A9651D">
        <w:rPr>
          <w:rFonts w:ascii="Tahoma" w:eastAsia="Times New Roman" w:hAnsi="Tahoma" w:cs="Tahoma"/>
          <w:kern w:val="0"/>
          <w:sz w:val="22"/>
          <w:szCs w:val="20"/>
          <w:lang w:eastAsia="ar-SA"/>
          <w14:ligatures w14:val="none"/>
        </w:rPr>
        <w:t>assigned</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by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relevant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deputy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with</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norm</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26 </w:t>
      </w:r>
      <w:proofErr w:type="spellStart"/>
      <w:r w:rsidRPr="00A9651D">
        <w:rPr>
          <w:rFonts w:ascii="Tahoma" w:eastAsia="Times New Roman" w:hAnsi="Tahoma" w:cs="Tahoma"/>
          <w:kern w:val="0"/>
          <w:sz w:val="22"/>
          <w:szCs w:val="20"/>
          <w:lang w:eastAsia="ar-SA"/>
          <w14:ligatures w14:val="none"/>
        </w:rPr>
        <w:t>sessions</w:t>
      </w:r>
      <w:proofErr w:type="spellEnd"/>
      <w:r w:rsidRPr="00A9651D">
        <w:rPr>
          <w:rFonts w:ascii="Tahoma" w:eastAsia="Times New Roman" w:hAnsi="Tahoma" w:cs="Tahoma"/>
          <w:kern w:val="0"/>
          <w:sz w:val="22"/>
          <w:szCs w:val="20"/>
          <w:lang w:eastAsia="ar-SA"/>
          <w14:ligatures w14:val="none"/>
        </w:rPr>
        <w:t xml:space="preserve"> per </w:t>
      </w:r>
      <w:proofErr w:type="spellStart"/>
      <w:r w:rsidRPr="00A9651D">
        <w:rPr>
          <w:rFonts w:ascii="Tahoma" w:eastAsia="Times New Roman" w:hAnsi="Tahoma" w:cs="Tahoma"/>
          <w:kern w:val="0"/>
          <w:sz w:val="22"/>
          <w:szCs w:val="20"/>
          <w:lang w:eastAsia="ar-SA"/>
          <w14:ligatures w14:val="none"/>
        </w:rPr>
        <w:t>month</w:t>
      </w:r>
      <w:proofErr w:type="spellEnd"/>
      <w:r w:rsidRPr="00A9651D">
        <w:rPr>
          <w:rFonts w:ascii="Tahoma" w:eastAsia="Times New Roman" w:hAnsi="Tahoma" w:cs="Tahoma"/>
          <w:kern w:val="0"/>
          <w:sz w:val="22"/>
          <w:szCs w:val="20"/>
          <w:lang w:eastAsia="ar-SA"/>
          <w14:ligatures w14:val="none"/>
        </w:rPr>
        <w:t>.</w:t>
      </w:r>
    </w:p>
    <w:p w14:paraId="765BEE2C" w14:textId="77777777" w:rsidR="00C90D09"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3FCD1348" w14:textId="77777777" w:rsidR="00C90D09" w:rsidRPr="00BB14F5"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39699064" w14:textId="77777777" w:rsidR="00C90D09" w:rsidRPr="00BB14F5"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3D9396FB" w14:textId="77777777" w:rsidR="00C90D09" w:rsidRDefault="00C90D09" w:rsidP="00C90D09">
      <w:pPr>
        <w:suppressAutoHyphens/>
        <w:spacing w:after="0" w:line="240" w:lineRule="auto"/>
        <w:rPr>
          <w:rFonts w:ascii="Tahoma" w:hAnsi="Tahoma"/>
          <w:sz w:val="22"/>
          <w:szCs w:val="20"/>
          <w:lang w:val="en-GB"/>
        </w:rPr>
      </w:pPr>
    </w:p>
    <w:p w14:paraId="163A7A7B" w14:textId="77777777" w:rsidR="00C90D09" w:rsidRDefault="00C90D09" w:rsidP="00C90D09">
      <w:pPr>
        <w:suppressAutoHyphens/>
        <w:spacing w:after="0" w:line="240" w:lineRule="auto"/>
        <w:rPr>
          <w:rFonts w:ascii="Tahoma" w:hAnsi="Tahoma"/>
          <w:sz w:val="22"/>
          <w:szCs w:val="20"/>
          <w:lang w:val="en-GB"/>
        </w:rPr>
      </w:pPr>
    </w:p>
    <w:p w14:paraId="6213E270" w14:textId="77777777" w:rsidR="00C90D09" w:rsidRPr="00BB14F5" w:rsidRDefault="00C90D09" w:rsidP="00C90D09">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2FE2D8ED" w14:textId="77777777" w:rsidR="00C90D09" w:rsidRPr="00BB14F5" w:rsidRDefault="00C90D09" w:rsidP="00C90D09">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2CA8C7B4"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202026E"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02241F1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EC962C3"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4EDEAF8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000B2F9"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45DEC7A2"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0E9D6F24"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48BD7106"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26A5CED2"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41FC0762" w14:textId="77777777" w:rsidR="00C90D09" w:rsidRPr="00BB14F5" w:rsidRDefault="00C90D09" w:rsidP="00C90D09">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7CB4242C"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25DCA99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1D61E3A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4F66B46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3223217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08C6BFF9" w14:textId="77777777" w:rsidR="00C90D09" w:rsidRPr="00BB14F5" w:rsidRDefault="00C90D09" w:rsidP="00C90D09">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w:t>
      </w:r>
      <w:r>
        <w:rPr>
          <w:rFonts w:ascii="Tahoma" w:hAnsi="Tahoma"/>
          <w:sz w:val="22"/>
          <w:szCs w:val="22"/>
          <w:lang w:val="en-GB"/>
        </w:rPr>
        <w:t>43</w:t>
      </w:r>
      <w:r w:rsidRPr="00BB14F5">
        <w:rPr>
          <w:rFonts w:ascii="Tahoma" w:hAnsi="Tahoma"/>
          <w:sz w:val="22"/>
          <w:szCs w:val="22"/>
          <w:lang w:val="en-GB"/>
        </w:rPr>
        <w:t xml:space="preserve"> days of the vacancy announcement to: urudzbeni@hnk.hr</w:t>
      </w:r>
    </w:p>
    <w:p w14:paraId="4BBF77B7" w14:textId="77777777" w:rsidR="00C90D09" w:rsidRDefault="00C90D09" w:rsidP="00C90D09">
      <w:pPr>
        <w:suppressAutoHyphens/>
        <w:spacing w:after="0" w:line="240" w:lineRule="auto"/>
        <w:jc w:val="both"/>
      </w:pPr>
      <w:r w:rsidRPr="00BB14F5">
        <w:rPr>
          <w:rFonts w:ascii="Tahoma" w:hAnsi="Tahoma"/>
          <w:sz w:val="22"/>
          <w:szCs w:val="22"/>
          <w:lang w:val="en-GB"/>
        </w:rPr>
        <w:t>Incomplete or late applications will not be considered.</w:t>
      </w:r>
    </w:p>
    <w:p w14:paraId="17AAA545" w14:textId="77777777" w:rsidR="00C90D09" w:rsidRDefault="00C90D09"/>
    <w:sectPr w:rsidR="00C9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9"/>
    <w:rsid w:val="00C90D09"/>
    <w:rsid w:val="00FC7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3EF0"/>
  <w15:chartTrackingRefBased/>
  <w15:docId w15:val="{4BC4F23A-8D77-43CD-906E-C3DB16F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09"/>
  </w:style>
  <w:style w:type="paragraph" w:styleId="Naslov1">
    <w:name w:val="heading 1"/>
    <w:basedOn w:val="Normal"/>
    <w:next w:val="Normal"/>
    <w:link w:val="Naslov1Char"/>
    <w:uiPriority w:val="9"/>
    <w:qFormat/>
    <w:rsid w:val="00C9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0D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0D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0D0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0D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0D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0D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0D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0D0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90D0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90D0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90D0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90D0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90D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90D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90D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90D09"/>
    <w:rPr>
      <w:rFonts w:eastAsiaTheme="majorEastAsia" w:cstheme="majorBidi"/>
      <w:color w:val="272727" w:themeColor="text1" w:themeTint="D8"/>
    </w:rPr>
  </w:style>
  <w:style w:type="paragraph" w:styleId="Naslov">
    <w:name w:val="Title"/>
    <w:basedOn w:val="Normal"/>
    <w:next w:val="Normal"/>
    <w:link w:val="NaslovChar"/>
    <w:uiPriority w:val="10"/>
    <w:qFormat/>
    <w:rsid w:val="00C9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0D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90D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0D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0D09"/>
    <w:pPr>
      <w:spacing w:before="160"/>
      <w:jc w:val="center"/>
    </w:pPr>
    <w:rPr>
      <w:i/>
      <w:iCs/>
      <w:color w:val="404040" w:themeColor="text1" w:themeTint="BF"/>
    </w:rPr>
  </w:style>
  <w:style w:type="character" w:customStyle="1" w:styleId="CitatChar">
    <w:name w:val="Citat Char"/>
    <w:basedOn w:val="Zadanifontodlomka"/>
    <w:link w:val="Citat"/>
    <w:uiPriority w:val="29"/>
    <w:rsid w:val="00C90D09"/>
    <w:rPr>
      <w:i/>
      <w:iCs/>
      <w:color w:val="404040" w:themeColor="text1" w:themeTint="BF"/>
    </w:rPr>
  </w:style>
  <w:style w:type="paragraph" w:styleId="Odlomakpopisa">
    <w:name w:val="List Paragraph"/>
    <w:basedOn w:val="Normal"/>
    <w:uiPriority w:val="34"/>
    <w:qFormat/>
    <w:rsid w:val="00C90D09"/>
    <w:pPr>
      <w:ind w:left="720"/>
      <w:contextualSpacing/>
    </w:pPr>
  </w:style>
  <w:style w:type="character" w:styleId="Jakoisticanje">
    <w:name w:val="Intense Emphasis"/>
    <w:basedOn w:val="Zadanifontodlomka"/>
    <w:uiPriority w:val="21"/>
    <w:qFormat/>
    <w:rsid w:val="00C90D09"/>
    <w:rPr>
      <w:i/>
      <w:iCs/>
      <w:color w:val="2F5496" w:themeColor="accent1" w:themeShade="BF"/>
    </w:rPr>
  </w:style>
  <w:style w:type="paragraph" w:styleId="Naglaencitat">
    <w:name w:val="Intense Quote"/>
    <w:basedOn w:val="Normal"/>
    <w:next w:val="Normal"/>
    <w:link w:val="NaglaencitatChar"/>
    <w:uiPriority w:val="30"/>
    <w:qFormat/>
    <w:rsid w:val="00C9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0D09"/>
    <w:rPr>
      <w:i/>
      <w:iCs/>
      <w:color w:val="2F5496" w:themeColor="accent1" w:themeShade="BF"/>
    </w:rPr>
  </w:style>
  <w:style w:type="character" w:styleId="Istaknutareferenca">
    <w:name w:val="Intense Reference"/>
    <w:basedOn w:val="Zadanifontodlomka"/>
    <w:uiPriority w:val="32"/>
    <w:qFormat/>
    <w:rsid w:val="00C90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1</cp:revision>
  <dcterms:created xsi:type="dcterms:W3CDTF">2026-07-14T15:39:00Z</dcterms:created>
  <dcterms:modified xsi:type="dcterms:W3CDTF">2026-07-14T15:41:00Z</dcterms:modified>
</cp:coreProperties>
</file>